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62D7E8">
      <w:pPr>
        <w:spacing w:after="156" w:afterLines="50" w:line="300" w:lineRule="auto"/>
        <w:jc w:val="center"/>
        <w:rPr>
          <w:rFonts w:hint="eastAsia" w:ascii="宋体" w:hAnsi="宋体"/>
          <w:b/>
          <w:position w:val="-6"/>
          <w:sz w:val="36"/>
          <w:szCs w:val="36"/>
        </w:rPr>
      </w:pPr>
      <w:r>
        <w:rPr>
          <w:rFonts w:hint="eastAsia" w:ascii="宋体" w:hAnsi="宋体"/>
          <w:b/>
          <w:position w:val="-6"/>
          <w:sz w:val="36"/>
          <w:szCs w:val="36"/>
          <w:lang w:val="en-US" w:eastAsia="zh-CN"/>
        </w:rPr>
        <w:t>工程量清单编制</w:t>
      </w:r>
      <w:r>
        <w:rPr>
          <w:rFonts w:hint="eastAsia" w:ascii="宋体" w:hAnsi="宋体"/>
          <w:b/>
          <w:position w:val="-6"/>
          <w:sz w:val="36"/>
          <w:szCs w:val="36"/>
        </w:rPr>
        <w:t>说明</w:t>
      </w:r>
    </w:p>
    <w:p w14:paraId="57440E8C">
      <w:pPr>
        <w:snapToGrid w:val="0"/>
        <w:spacing w:before="156" w:beforeLines="50" w:after="78" w:line="480" w:lineRule="exact"/>
        <w:jc w:val="left"/>
        <w:rPr>
          <w:rFonts w:hint="eastAsia" w:ascii="宋体" w:hAnsi="宋体" w:cs="宋体"/>
          <w:b/>
          <w:bCs/>
          <w:sz w:val="24"/>
          <w:szCs w:val="24"/>
          <w:lang w:val="en-US" w:eastAsia="zh-CN"/>
        </w:rPr>
      </w:pPr>
      <w:r>
        <w:rPr>
          <w:rFonts w:hint="eastAsia" w:ascii="宋体" w:hAnsi="宋体" w:cs="宋体"/>
          <w:b/>
          <w:bCs/>
          <w:sz w:val="24"/>
          <w:szCs w:val="24"/>
          <w:lang w:val="en-US" w:eastAsia="zh-CN"/>
        </w:rPr>
        <w:t>项目</w:t>
      </w:r>
      <w:r>
        <w:rPr>
          <w:rFonts w:hint="eastAsia" w:ascii="宋体" w:hAnsi="宋体" w:cs="宋体"/>
          <w:b/>
          <w:bCs/>
          <w:sz w:val="24"/>
          <w:szCs w:val="24"/>
        </w:rPr>
        <w:t>名称：</w:t>
      </w:r>
      <w:r>
        <w:rPr>
          <w:rFonts w:hint="eastAsia" w:ascii="宋体" w:hAnsi="宋体" w:cs="宋体"/>
          <w:b/>
          <w:bCs/>
          <w:sz w:val="24"/>
          <w:szCs w:val="24"/>
          <w:lang w:val="en-US" w:eastAsia="zh-CN"/>
        </w:rPr>
        <w:t>北羽毛球馆灯光更新改造</w:t>
      </w:r>
    </w:p>
    <w:tbl>
      <w:tblPr>
        <w:tblStyle w:val="8"/>
        <w:tblW w:w="91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31"/>
      </w:tblGrid>
      <w:tr w14:paraId="24A110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0" w:hRule="atLeast"/>
          <w:jc w:val="center"/>
        </w:trPr>
        <w:tc>
          <w:tcPr>
            <w:tcW w:w="9131" w:type="dxa"/>
            <w:tcBorders>
              <w:top w:val="single" w:color="auto" w:sz="4" w:space="0"/>
              <w:left w:val="single" w:color="auto" w:sz="4" w:space="0"/>
              <w:bottom w:val="single" w:color="auto" w:sz="4" w:space="0"/>
              <w:right w:val="single" w:color="auto" w:sz="4" w:space="0"/>
            </w:tcBorders>
            <w:noWrap w:val="0"/>
            <w:vAlign w:val="top"/>
          </w:tcPr>
          <w:p w14:paraId="523B9596">
            <w:pPr>
              <w:spacing w:after="0" w:afterLines="0" w:line="360" w:lineRule="auto"/>
              <w:ind w:firstLine="482" w:firstLineChars="200"/>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一、工程概况：</w:t>
            </w:r>
          </w:p>
          <w:p w14:paraId="6BB98661">
            <w:pPr>
              <w:spacing w:line="360" w:lineRule="auto"/>
              <w:ind w:firstLine="480" w:firstLineChars="200"/>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color w:val="auto"/>
                <w:sz w:val="24"/>
                <w:szCs w:val="24"/>
                <w:highlight w:val="none"/>
                <w:lang w:val="en-US" w:eastAsia="zh-CN"/>
              </w:rPr>
              <w:t>本工程为北羽毛球馆灯光更新改造，</w:t>
            </w:r>
            <w:r>
              <w:rPr>
                <w:rFonts w:hint="eastAsia" w:ascii="宋体" w:hAnsi="宋体" w:eastAsia="宋体" w:cs="宋体"/>
                <w:b w:val="0"/>
                <w:bCs w:val="0"/>
                <w:color w:val="auto"/>
                <w:sz w:val="24"/>
                <w:szCs w:val="24"/>
                <w:highlight w:val="none"/>
                <w:u w:val="none"/>
                <w:lang w:val="en-US" w:eastAsia="zh-CN"/>
              </w:rPr>
              <w:t>项目建设单位为南京体育学院。</w:t>
            </w:r>
          </w:p>
          <w:p w14:paraId="0F043C46">
            <w:pPr>
              <w:spacing w:line="360" w:lineRule="auto"/>
              <w:ind w:firstLine="480" w:firstLineChars="200"/>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建设地点：该项目位于南京市玄武区</w:t>
            </w:r>
            <w:r>
              <w:rPr>
                <w:rFonts w:hint="eastAsia" w:ascii="宋体" w:hAnsi="宋体" w:eastAsia="宋体" w:cs="宋体"/>
                <w:color w:val="auto"/>
                <w:sz w:val="24"/>
                <w:szCs w:val="24"/>
                <w:highlight w:val="none"/>
                <w:lang w:val="en-US" w:eastAsia="zh-CN"/>
              </w:rPr>
              <w:t>南京体育学院</w:t>
            </w:r>
            <w:r>
              <w:rPr>
                <w:rFonts w:hint="eastAsia" w:ascii="宋体" w:hAnsi="宋体" w:eastAsia="宋体" w:cs="宋体"/>
                <w:b w:val="0"/>
                <w:bCs w:val="0"/>
                <w:color w:val="auto"/>
                <w:sz w:val="24"/>
                <w:szCs w:val="24"/>
                <w:highlight w:val="none"/>
                <w:u w:val="none"/>
                <w:lang w:val="en-US" w:eastAsia="zh-CN"/>
              </w:rPr>
              <w:t>。</w:t>
            </w:r>
          </w:p>
          <w:p w14:paraId="5F7E1CA6">
            <w:pPr>
              <w:spacing w:line="360" w:lineRule="auto"/>
              <w:ind w:firstLine="480" w:firstLineChars="200"/>
              <w:rPr>
                <w:rFonts w:hint="default"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主要建设内容及规模：北羽毛球馆63盏灯具拆除换新。</w:t>
            </w:r>
          </w:p>
          <w:p w14:paraId="0ABB7D43">
            <w:pPr>
              <w:tabs>
                <w:tab w:val="left" w:pos="720"/>
              </w:tabs>
              <w:spacing w:after="0" w:afterLines="0" w:line="360" w:lineRule="auto"/>
              <w:ind w:firstLine="482" w:firstLineChars="200"/>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二、编制范围</w:t>
            </w:r>
            <w:r>
              <w:rPr>
                <w:rFonts w:hint="eastAsia" w:ascii="宋体" w:hAnsi="宋体" w:eastAsia="宋体" w:cs="宋体"/>
                <w:b/>
                <w:bCs w:val="0"/>
                <w:color w:val="auto"/>
                <w:sz w:val="24"/>
                <w:szCs w:val="24"/>
                <w:highlight w:val="none"/>
                <w:lang w:eastAsia="zh-CN"/>
              </w:rPr>
              <w:t>、内容及界面</w:t>
            </w:r>
            <w:r>
              <w:rPr>
                <w:rFonts w:hint="eastAsia" w:ascii="宋体" w:hAnsi="宋体" w:eastAsia="宋体" w:cs="宋体"/>
                <w:b/>
                <w:bCs w:val="0"/>
                <w:color w:val="auto"/>
                <w:sz w:val="24"/>
                <w:szCs w:val="24"/>
                <w:highlight w:val="none"/>
              </w:rPr>
              <w:t>：</w:t>
            </w:r>
          </w:p>
          <w:p w14:paraId="08464DCD">
            <w:pPr>
              <w:tabs>
                <w:tab w:val="left" w:pos="720"/>
              </w:tabs>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u w:val="none"/>
                <w:lang w:val="en-US" w:eastAsia="zh-CN"/>
              </w:rPr>
              <w:t>北羽毛球馆63盏灯具拆除换新，</w:t>
            </w:r>
            <w:r>
              <w:rPr>
                <w:rFonts w:hint="eastAsia" w:ascii="宋体" w:hAnsi="宋体" w:eastAsia="宋体" w:cs="宋体"/>
                <w:color w:val="auto"/>
                <w:sz w:val="24"/>
                <w:szCs w:val="24"/>
                <w:highlight w:val="none"/>
                <w:lang w:val="en-US" w:eastAsia="zh-CN"/>
              </w:rPr>
              <w:t>具体详见工程量清单。</w:t>
            </w:r>
          </w:p>
          <w:p w14:paraId="2DFBCED5">
            <w:pPr>
              <w:tabs>
                <w:tab w:val="left" w:pos="720"/>
              </w:tabs>
              <w:spacing w:after="0" w:afterLines="0" w:line="360" w:lineRule="auto"/>
              <w:ind w:firstLine="482" w:firstLineChars="200"/>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sz w:val="24"/>
                <w:szCs w:val="24"/>
                <w:highlight w:val="none"/>
                <w:lang w:val="en-US" w:eastAsia="zh-CN"/>
              </w:rPr>
              <w:t>三、施工图预算</w:t>
            </w:r>
            <w:r>
              <w:rPr>
                <w:rFonts w:hint="eastAsia" w:ascii="宋体" w:hAnsi="宋体" w:eastAsia="宋体" w:cs="宋体"/>
                <w:b/>
                <w:bCs w:val="0"/>
                <w:color w:val="auto"/>
                <w:sz w:val="24"/>
                <w:szCs w:val="24"/>
                <w:highlight w:val="none"/>
                <w:lang w:eastAsia="zh-CN"/>
              </w:rPr>
              <w:t>编制依据：</w:t>
            </w:r>
          </w:p>
          <w:p w14:paraId="0C6B99EF">
            <w:pPr>
              <w:tabs>
                <w:tab w:val="left" w:pos="720"/>
              </w:tabs>
              <w:spacing w:line="360" w:lineRule="auto"/>
              <w:ind w:firstLine="480" w:firstLineChars="200"/>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1.《建设工程工程量清单计价标准》（GB/T50500-2024）、《通用安装工程工程量计算标准》（GB/T50856-2024）；</w:t>
            </w:r>
          </w:p>
          <w:p w14:paraId="03DE391A">
            <w:pPr>
              <w:tabs>
                <w:tab w:val="left" w:pos="720"/>
              </w:tabs>
              <w:spacing w:line="360" w:lineRule="auto"/>
              <w:ind w:firstLine="480" w:firstLineChars="200"/>
              <w:rPr>
                <w:rFonts w:hint="default"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2.《江苏省通用安装工程消耗量》（2026）、《江苏省房屋修缮工程计价表》（2009）、《江苏省建设工程费用参考》（2026）、《江苏省建设工程施工机具台班费用参考表》（2026）；</w:t>
            </w:r>
          </w:p>
          <w:p w14:paraId="3ED35B72">
            <w:pPr>
              <w:tabs>
                <w:tab w:val="left" w:pos="720"/>
              </w:tabs>
              <w:spacing w:line="360" w:lineRule="auto"/>
              <w:ind w:firstLine="480" w:firstLineChars="200"/>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3.人工费参考2026年上半年人工计入（具体详见《江苏省建设工程费用参考》（2026）），材料价按市场价计入；</w:t>
            </w:r>
          </w:p>
          <w:p w14:paraId="24394DA4">
            <w:pPr>
              <w:tabs>
                <w:tab w:val="left" w:pos="720"/>
              </w:tabs>
              <w:spacing w:line="360" w:lineRule="auto"/>
              <w:ind w:firstLine="480" w:firstLineChars="200"/>
              <w:rPr>
                <w:rFonts w:hint="default"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4.税率公文苏建价函【2025】2号文；</w:t>
            </w:r>
          </w:p>
          <w:p w14:paraId="68BD84D3">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5.其他与建设项目相关的标准、规范、技术资料。</w:t>
            </w:r>
          </w:p>
          <w:p w14:paraId="275147FA">
            <w:pPr>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暂列金额、</w:t>
            </w:r>
            <w:r>
              <w:rPr>
                <w:rFonts w:hint="eastAsia" w:ascii="宋体" w:hAnsi="宋体" w:eastAsia="宋体" w:cs="宋体"/>
                <w:b/>
                <w:bCs/>
                <w:color w:val="auto"/>
                <w:sz w:val="24"/>
                <w:szCs w:val="24"/>
                <w:highlight w:val="none"/>
              </w:rPr>
              <w:t>专业工程暂估价及</w:t>
            </w:r>
            <w:r>
              <w:rPr>
                <w:rFonts w:hint="eastAsia" w:ascii="宋体" w:hAnsi="宋体" w:eastAsia="宋体" w:cs="宋体"/>
                <w:b/>
                <w:bCs/>
                <w:color w:val="auto"/>
                <w:sz w:val="24"/>
                <w:szCs w:val="24"/>
                <w:highlight w:val="none"/>
                <w:lang w:eastAsia="zh-CN"/>
              </w:rPr>
              <w:t>总承包服务费</w:t>
            </w:r>
            <w:r>
              <w:rPr>
                <w:rFonts w:hint="eastAsia" w:ascii="宋体" w:hAnsi="宋体" w:eastAsia="宋体" w:cs="宋体"/>
                <w:b/>
                <w:bCs/>
                <w:color w:val="auto"/>
                <w:sz w:val="24"/>
                <w:szCs w:val="24"/>
                <w:highlight w:val="none"/>
              </w:rPr>
              <w:t>：</w:t>
            </w:r>
          </w:p>
          <w:p w14:paraId="44BC76E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1.暂列金</w:t>
            </w:r>
            <w:r>
              <w:rPr>
                <w:rFonts w:hint="eastAsia" w:ascii="宋体" w:hAnsi="宋体" w:eastAsia="宋体" w:cs="宋体"/>
                <w:color w:val="auto"/>
                <w:sz w:val="24"/>
                <w:szCs w:val="24"/>
                <w:highlight w:val="none"/>
                <w:lang w:eastAsia="zh-CN"/>
              </w:rPr>
              <w:t>额</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无；</w:t>
            </w:r>
          </w:p>
          <w:p w14:paraId="060ADC1D">
            <w:pPr>
              <w:spacing w:line="360" w:lineRule="auto"/>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2.专业工程暂估价：</w:t>
            </w:r>
            <w:r>
              <w:rPr>
                <w:rFonts w:hint="eastAsia" w:ascii="宋体" w:hAnsi="宋体" w:eastAsia="宋体" w:cs="宋体"/>
                <w:color w:val="auto"/>
                <w:sz w:val="24"/>
                <w:szCs w:val="24"/>
                <w:highlight w:val="none"/>
                <w:lang w:val="en-US" w:eastAsia="zh-CN"/>
              </w:rPr>
              <w:t>无；</w:t>
            </w:r>
          </w:p>
          <w:p w14:paraId="3EE4506E">
            <w:pPr>
              <w:spacing w:line="360" w:lineRule="auto"/>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3.总承包服务费：</w:t>
            </w:r>
            <w:r>
              <w:rPr>
                <w:rFonts w:hint="eastAsia" w:ascii="宋体" w:hAnsi="宋体" w:eastAsia="宋体" w:cs="宋体"/>
                <w:color w:val="auto"/>
                <w:sz w:val="24"/>
                <w:szCs w:val="24"/>
                <w:highlight w:val="none"/>
                <w:lang w:val="en-US" w:eastAsia="zh-CN"/>
              </w:rPr>
              <w:t>无</w:t>
            </w:r>
            <w:r>
              <w:rPr>
                <w:rFonts w:hint="eastAsia" w:ascii="宋体" w:hAnsi="宋体" w:eastAsia="宋体" w:cs="宋体"/>
                <w:color w:val="auto"/>
                <w:sz w:val="24"/>
                <w:szCs w:val="24"/>
                <w:highlight w:val="none"/>
                <w:lang w:eastAsia="zh-CN"/>
              </w:rPr>
              <w:t>。</w:t>
            </w:r>
          </w:p>
          <w:p w14:paraId="1502EA3A">
            <w:pPr>
              <w:spacing w:line="360" w:lineRule="auto"/>
              <w:ind w:firstLine="48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五、通用措施项目：</w:t>
            </w:r>
          </w:p>
          <w:p w14:paraId="5BD9ADE8">
            <w:pPr>
              <w:spacing w:line="360" w:lineRule="auto"/>
              <w:ind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1.修缮安装工程：安全生产费率3.8%、文明施工费率1.2%、环境保护费率0.45%、临时设施费率1.45%、已完工程及设备保护费率0.025%，建筑工人实名制费率0.0525%。</w:t>
            </w:r>
          </w:p>
          <w:p w14:paraId="424024C5">
            <w:pPr>
              <w:spacing w:line="360" w:lineRule="auto"/>
              <w:ind w:firstLine="480"/>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六、取费及增值税：</w:t>
            </w:r>
          </w:p>
          <w:p w14:paraId="3BE2AE20">
            <w:pPr>
              <w:spacing w:line="360" w:lineRule="auto"/>
              <w:ind w:firstLine="480"/>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（一）修缮安装工程</w:t>
            </w:r>
          </w:p>
          <w:p w14:paraId="06E958CE">
            <w:pPr>
              <w:spacing w:line="360" w:lineRule="auto"/>
              <w:ind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1.管理费费率46.25%，利润费率14.5%（均按中值计取）；</w:t>
            </w:r>
          </w:p>
          <w:p w14:paraId="72153AAE">
            <w:pPr>
              <w:spacing w:line="360" w:lineRule="auto"/>
              <w:ind w:firstLine="48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2.增值税费率9%。</w:t>
            </w:r>
          </w:p>
          <w:p w14:paraId="1F62881E">
            <w:pPr>
              <w:spacing w:line="360" w:lineRule="auto"/>
              <w:ind w:firstLine="480"/>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、有关图纸工程量</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材料设备</w:t>
            </w:r>
            <w:r>
              <w:rPr>
                <w:rFonts w:hint="eastAsia" w:ascii="宋体" w:hAnsi="宋体" w:eastAsia="宋体" w:cs="宋体"/>
                <w:b/>
                <w:bCs/>
                <w:color w:val="auto"/>
                <w:sz w:val="24"/>
                <w:szCs w:val="24"/>
                <w:highlight w:val="none"/>
              </w:rPr>
              <w:t>的说明：</w:t>
            </w:r>
          </w:p>
          <w:p w14:paraId="22A751B4">
            <w:pPr>
              <w:spacing w:line="360" w:lineRule="auto"/>
              <w:ind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1、投标人需自行勘察现场，投标时自行考虑垃圾外运、二次搬运等费用；</w:t>
            </w:r>
          </w:p>
          <w:p w14:paraId="5DABC66B">
            <w:pPr>
              <w:spacing w:line="360" w:lineRule="auto"/>
              <w:ind w:firstLine="48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2、拆除后旧灯具及其附件需移交甲方，结算时出具移交单；</w:t>
            </w:r>
          </w:p>
          <w:p w14:paraId="0B433E39">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3、超高费已在清单中考虑；</w:t>
            </w:r>
          </w:p>
          <w:p w14:paraId="2FE58CDE">
            <w:pPr>
              <w:spacing w:line="360" w:lineRule="auto"/>
              <w:ind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4、本工程施工材料需满足国家建筑材料、环保要求，并征得发包人同意后方可使用。材料进场报验时，承包人须提供采购供货合同、合格证明、检测报告等；</w:t>
            </w:r>
          </w:p>
          <w:p w14:paraId="5DC8C41E">
            <w:pPr>
              <w:spacing w:line="360" w:lineRule="auto"/>
              <w:ind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5、其他详见招标文件要求；</w:t>
            </w:r>
          </w:p>
          <w:p w14:paraId="53162638">
            <w:pPr>
              <w:spacing w:line="360" w:lineRule="auto"/>
              <w:ind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6、本工程主要推荐品牌如下：</w:t>
            </w:r>
          </w:p>
          <w:p w14:paraId="2BFE4BE8">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设备、材料品牌表</w:t>
            </w:r>
          </w:p>
          <w:tbl>
            <w:tblPr>
              <w:tblStyle w:val="9"/>
              <w:tblW w:w="89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
              <w:gridCol w:w="3936"/>
              <w:gridCol w:w="4144"/>
            </w:tblGrid>
            <w:tr w14:paraId="4C630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tcPr>
                <w:p w14:paraId="497C60B6">
                  <w:pPr>
                    <w:spacing w:line="360" w:lineRule="auto"/>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color w:val="auto"/>
                      <w:sz w:val="24"/>
                      <w:szCs w:val="24"/>
                      <w:highlight w:val="none"/>
                      <w:lang w:val="en-US" w:eastAsia="zh-CN"/>
                    </w:rPr>
                    <w:t>序号</w:t>
                  </w:r>
                </w:p>
              </w:tc>
              <w:tc>
                <w:tcPr>
                  <w:tcW w:w="3936" w:type="dxa"/>
                </w:tcPr>
                <w:p w14:paraId="7DF2A991">
                  <w:pPr>
                    <w:spacing w:line="360" w:lineRule="auto"/>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color w:val="auto"/>
                      <w:sz w:val="24"/>
                      <w:szCs w:val="24"/>
                      <w:highlight w:val="none"/>
                      <w:lang w:val="en-US" w:eastAsia="zh-CN"/>
                    </w:rPr>
                    <w:t>设备、材料名称</w:t>
                  </w:r>
                </w:p>
              </w:tc>
              <w:tc>
                <w:tcPr>
                  <w:tcW w:w="4144" w:type="dxa"/>
                </w:tcPr>
                <w:p w14:paraId="2D2AFFC1">
                  <w:pPr>
                    <w:spacing w:line="360" w:lineRule="auto"/>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color w:val="auto"/>
                      <w:sz w:val="24"/>
                      <w:szCs w:val="24"/>
                      <w:highlight w:val="none"/>
                      <w:lang w:val="en-US" w:eastAsia="zh-CN"/>
                    </w:rPr>
                    <w:t>品牌名录</w:t>
                  </w:r>
                </w:p>
              </w:tc>
            </w:tr>
            <w:tr w14:paraId="77538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15" w:type="dxa"/>
                  <w:gridSpan w:val="3"/>
                </w:tcPr>
                <w:p w14:paraId="26A64D51">
                  <w:pPr>
                    <w:spacing w:line="360" w:lineRule="auto"/>
                    <w:jc w:val="left"/>
                    <w:rPr>
                      <w:rFonts w:hint="default"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lang w:val="en-US" w:eastAsia="zh-CN"/>
                    </w:rPr>
                    <w:t>装修材料</w:t>
                  </w:r>
                </w:p>
              </w:tc>
            </w:tr>
            <w:tr w14:paraId="32568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835" w:type="dxa"/>
                </w:tcPr>
                <w:p w14:paraId="3FC27BED">
                  <w:pPr>
                    <w:spacing w:line="360" w:lineRule="auto"/>
                    <w:jc w:val="center"/>
                    <w:rPr>
                      <w:rFonts w:hint="default"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1</w:t>
                  </w:r>
                </w:p>
              </w:tc>
              <w:tc>
                <w:tcPr>
                  <w:tcW w:w="3936" w:type="dxa"/>
                </w:tcPr>
                <w:p w14:paraId="3CD72A6F">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灯具</w:t>
                  </w:r>
                </w:p>
              </w:tc>
              <w:tc>
                <w:tcPr>
                  <w:tcW w:w="4144" w:type="dxa"/>
                </w:tcPr>
                <w:p w14:paraId="7CD98C8C">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MUSCO，LUMOSA，THORN，DODTAi，海洋王</w:t>
                  </w:r>
                </w:p>
              </w:tc>
            </w:tr>
          </w:tbl>
          <w:p w14:paraId="74C6DE05">
            <w:pPr>
              <w:spacing w:line="360" w:lineRule="auto"/>
              <w:jc w:val="both"/>
              <w:rPr>
                <w:rFonts w:hint="eastAsia" w:ascii="宋体" w:hAnsi="宋体" w:eastAsia="宋体" w:cs="宋体"/>
                <w:b/>
                <w:bCs/>
                <w:color w:val="auto"/>
                <w:sz w:val="24"/>
                <w:szCs w:val="24"/>
                <w:highlight w:val="none"/>
                <w:lang w:val="en-US" w:eastAsia="zh-CN"/>
              </w:rPr>
            </w:pPr>
          </w:p>
          <w:p w14:paraId="47EB9D41">
            <w:pPr>
              <w:spacing w:line="360" w:lineRule="auto"/>
              <w:jc w:val="left"/>
              <w:rPr>
                <w:rFonts w:hint="default"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注：以上品牌均应为原厂中高档正牌产品，上述材料、设备承包人必须从厂家（不含联营厂）或一级代理商处采购，严禁从其他渠道购买，否则不予使用。材料进场报验时，承包人须提供采购供货合同。非发包人指定品牌的材料，承包人应优选用上市公司生产的产品或在建筑市场上应用较广泛的高度质量，高信誉知名产品。投标文件书中须明确这些材料产品的品牌及品牌档次。如投标时未注明材料品牌，招标人有权在现有材料品牌表中直接指定，如进场材料与投标时不符，招标人可另行采购，中标人承担相应的材料及采购费用。施工期间上述材料须经发包人书面认可同意后，方可订购、材料进场。</w:t>
            </w:r>
          </w:p>
          <w:p w14:paraId="4E121D59">
            <w:pPr>
              <w:spacing w:line="360" w:lineRule="auto"/>
              <w:ind w:firstLine="480"/>
              <w:rPr>
                <w:rFonts w:hint="default" w:ascii="宋体" w:hAnsi="宋体" w:eastAsia="宋体" w:cs="宋体"/>
                <w:color w:val="auto"/>
                <w:sz w:val="24"/>
                <w:szCs w:val="24"/>
                <w:highlight w:val="none"/>
                <w:lang w:val="en-US" w:eastAsia="zh-CN"/>
              </w:rPr>
            </w:pPr>
          </w:p>
          <w:p w14:paraId="2E56F9B1">
            <w:pPr>
              <w:spacing w:line="360" w:lineRule="auto"/>
              <w:jc w:val="left"/>
              <w:rPr>
                <w:rFonts w:hint="default" w:eastAsiaTheme="minorEastAsia"/>
                <w:b w:val="0"/>
                <w:bCs/>
                <w:color w:val="auto"/>
                <w:sz w:val="20"/>
                <w:szCs w:val="20"/>
                <w:highlight w:val="none"/>
                <w:lang w:val="en-US" w:eastAsia="zh-CN"/>
              </w:rPr>
            </w:pPr>
          </w:p>
          <w:p w14:paraId="23F62A25">
            <w:pPr>
              <w:spacing w:line="360" w:lineRule="auto"/>
              <w:jc w:val="left"/>
              <w:rPr>
                <w:rFonts w:hint="default" w:eastAsiaTheme="minorEastAsia"/>
                <w:b w:val="0"/>
                <w:bCs/>
                <w:color w:val="auto"/>
                <w:sz w:val="20"/>
                <w:szCs w:val="20"/>
                <w:highlight w:val="none"/>
                <w:lang w:val="en-US" w:eastAsia="zh-CN"/>
              </w:rPr>
            </w:pPr>
            <w:bookmarkStart w:id="0" w:name="_GoBack"/>
            <w:bookmarkEnd w:id="0"/>
          </w:p>
          <w:p w14:paraId="573B37A1">
            <w:pPr>
              <w:spacing w:line="360" w:lineRule="auto"/>
              <w:jc w:val="left"/>
              <w:rPr>
                <w:rFonts w:hint="default" w:eastAsiaTheme="minorEastAsia"/>
                <w:b w:val="0"/>
                <w:bCs/>
                <w:color w:val="auto"/>
                <w:sz w:val="20"/>
                <w:szCs w:val="20"/>
                <w:highlight w:val="none"/>
                <w:lang w:val="en-US" w:eastAsia="zh-CN"/>
              </w:rPr>
            </w:pPr>
          </w:p>
          <w:p w14:paraId="33BA1761">
            <w:pPr>
              <w:spacing w:line="360" w:lineRule="auto"/>
              <w:jc w:val="left"/>
              <w:rPr>
                <w:rFonts w:hint="default" w:eastAsiaTheme="minorEastAsia"/>
                <w:b w:val="0"/>
                <w:bCs/>
                <w:color w:val="auto"/>
                <w:sz w:val="20"/>
                <w:szCs w:val="20"/>
                <w:highlight w:val="none"/>
                <w:lang w:val="en-US" w:eastAsia="zh-CN"/>
              </w:rPr>
            </w:pPr>
          </w:p>
        </w:tc>
      </w:tr>
    </w:tbl>
    <w:p w14:paraId="193ADB42">
      <w:pPr>
        <w:tabs>
          <w:tab w:val="left" w:pos="686"/>
        </w:tabs>
        <w:spacing w:after="78" w:line="480" w:lineRule="exact"/>
        <w:rPr>
          <w:rFonts w:hint="default" w:ascii="宋体" w:hAnsi="宋体"/>
          <w:sz w:val="18"/>
          <w:szCs w:val="18"/>
          <w:lang w:val="en-US" w:eastAsia="zh-CN"/>
        </w:rPr>
      </w:pPr>
    </w:p>
    <w:sectPr>
      <w:pgSz w:w="11850" w:h="16783"/>
      <w:pgMar w:top="1417"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yNDc3YmQxN2NhMGYwZTRhNDQ4OTQyODYxOTQwN2YifQ=="/>
  </w:docVars>
  <w:rsids>
    <w:rsidRoot w:val="74B17EC3"/>
    <w:rsid w:val="001A22A0"/>
    <w:rsid w:val="00AB35C0"/>
    <w:rsid w:val="00B33443"/>
    <w:rsid w:val="014B139E"/>
    <w:rsid w:val="019D69F4"/>
    <w:rsid w:val="019E1BB6"/>
    <w:rsid w:val="01C63BFD"/>
    <w:rsid w:val="01E9398F"/>
    <w:rsid w:val="026D14DD"/>
    <w:rsid w:val="027F1420"/>
    <w:rsid w:val="02865455"/>
    <w:rsid w:val="0359309D"/>
    <w:rsid w:val="03BE185C"/>
    <w:rsid w:val="03E868D9"/>
    <w:rsid w:val="04030E08"/>
    <w:rsid w:val="043A51E0"/>
    <w:rsid w:val="045D72C7"/>
    <w:rsid w:val="04A17DFA"/>
    <w:rsid w:val="04CD7D4A"/>
    <w:rsid w:val="053A6A4C"/>
    <w:rsid w:val="057523EE"/>
    <w:rsid w:val="05AD7DDA"/>
    <w:rsid w:val="0622640F"/>
    <w:rsid w:val="068A3C77"/>
    <w:rsid w:val="072308DB"/>
    <w:rsid w:val="075E4034"/>
    <w:rsid w:val="07881B72"/>
    <w:rsid w:val="07D91D8E"/>
    <w:rsid w:val="08167EB9"/>
    <w:rsid w:val="083251AE"/>
    <w:rsid w:val="0839438E"/>
    <w:rsid w:val="08470072"/>
    <w:rsid w:val="0880717C"/>
    <w:rsid w:val="08BD12B2"/>
    <w:rsid w:val="09301F91"/>
    <w:rsid w:val="096275B5"/>
    <w:rsid w:val="097F0D08"/>
    <w:rsid w:val="09FC615D"/>
    <w:rsid w:val="0A3B3C06"/>
    <w:rsid w:val="0A59408D"/>
    <w:rsid w:val="0A960BBC"/>
    <w:rsid w:val="0ABA55DE"/>
    <w:rsid w:val="0B3643CE"/>
    <w:rsid w:val="0BA90DE8"/>
    <w:rsid w:val="0C383B2B"/>
    <w:rsid w:val="0CDA2BEA"/>
    <w:rsid w:val="0D5E61E4"/>
    <w:rsid w:val="0D9676F8"/>
    <w:rsid w:val="0DAD0A8F"/>
    <w:rsid w:val="0E1257A8"/>
    <w:rsid w:val="0E885C24"/>
    <w:rsid w:val="0EA67A3D"/>
    <w:rsid w:val="0F4C0664"/>
    <w:rsid w:val="0FBA7128"/>
    <w:rsid w:val="0FC65D20"/>
    <w:rsid w:val="10215D6D"/>
    <w:rsid w:val="10D62AB0"/>
    <w:rsid w:val="10E723F2"/>
    <w:rsid w:val="1128487D"/>
    <w:rsid w:val="113E7E5D"/>
    <w:rsid w:val="11902A8A"/>
    <w:rsid w:val="11BF03C9"/>
    <w:rsid w:val="127C1C3D"/>
    <w:rsid w:val="128679E9"/>
    <w:rsid w:val="128733E6"/>
    <w:rsid w:val="13C50F53"/>
    <w:rsid w:val="13F56BD4"/>
    <w:rsid w:val="141F4F33"/>
    <w:rsid w:val="14771964"/>
    <w:rsid w:val="149A14C1"/>
    <w:rsid w:val="14D40EDF"/>
    <w:rsid w:val="15834C78"/>
    <w:rsid w:val="15924BDF"/>
    <w:rsid w:val="15B63409"/>
    <w:rsid w:val="15C34AB0"/>
    <w:rsid w:val="166D2B2D"/>
    <w:rsid w:val="16861821"/>
    <w:rsid w:val="16A34C9D"/>
    <w:rsid w:val="16E81DD2"/>
    <w:rsid w:val="17205700"/>
    <w:rsid w:val="182A5FA4"/>
    <w:rsid w:val="18A9076B"/>
    <w:rsid w:val="18C028EC"/>
    <w:rsid w:val="18C404DF"/>
    <w:rsid w:val="190B37D2"/>
    <w:rsid w:val="1971160F"/>
    <w:rsid w:val="19856C4C"/>
    <w:rsid w:val="198F7F53"/>
    <w:rsid w:val="19A2611B"/>
    <w:rsid w:val="19EA3444"/>
    <w:rsid w:val="19FD507F"/>
    <w:rsid w:val="1A7025E8"/>
    <w:rsid w:val="1A8F25E7"/>
    <w:rsid w:val="1A9133CF"/>
    <w:rsid w:val="1ABF7F3C"/>
    <w:rsid w:val="1AC7760E"/>
    <w:rsid w:val="1B094569"/>
    <w:rsid w:val="1B356450"/>
    <w:rsid w:val="1B3C504F"/>
    <w:rsid w:val="1B9A4B62"/>
    <w:rsid w:val="1BA86C22"/>
    <w:rsid w:val="1BFA3188"/>
    <w:rsid w:val="1C0C0F5F"/>
    <w:rsid w:val="1C291A51"/>
    <w:rsid w:val="1C3B046A"/>
    <w:rsid w:val="1C984F70"/>
    <w:rsid w:val="1D20788F"/>
    <w:rsid w:val="1DFE521F"/>
    <w:rsid w:val="1E1E7439"/>
    <w:rsid w:val="1E65067E"/>
    <w:rsid w:val="1E803E86"/>
    <w:rsid w:val="1F530FD2"/>
    <w:rsid w:val="1F601B3E"/>
    <w:rsid w:val="1F923935"/>
    <w:rsid w:val="1FC15369"/>
    <w:rsid w:val="1FED554B"/>
    <w:rsid w:val="204837E6"/>
    <w:rsid w:val="20922726"/>
    <w:rsid w:val="210E54DE"/>
    <w:rsid w:val="213851B4"/>
    <w:rsid w:val="218F02BA"/>
    <w:rsid w:val="21A77E4B"/>
    <w:rsid w:val="21B55BF5"/>
    <w:rsid w:val="21F634CC"/>
    <w:rsid w:val="21FB6FBF"/>
    <w:rsid w:val="223B5EDB"/>
    <w:rsid w:val="22C34341"/>
    <w:rsid w:val="2314495E"/>
    <w:rsid w:val="23633EA5"/>
    <w:rsid w:val="23F476BB"/>
    <w:rsid w:val="241E3265"/>
    <w:rsid w:val="246D0C5F"/>
    <w:rsid w:val="248D75CE"/>
    <w:rsid w:val="24997DA6"/>
    <w:rsid w:val="24A05203"/>
    <w:rsid w:val="24A73F4E"/>
    <w:rsid w:val="24AB5BF5"/>
    <w:rsid w:val="24C249AD"/>
    <w:rsid w:val="24CF5224"/>
    <w:rsid w:val="24D9609E"/>
    <w:rsid w:val="251A4E5B"/>
    <w:rsid w:val="25941F88"/>
    <w:rsid w:val="25C13C4E"/>
    <w:rsid w:val="25CC66AE"/>
    <w:rsid w:val="262D5408"/>
    <w:rsid w:val="263704ED"/>
    <w:rsid w:val="26717E2D"/>
    <w:rsid w:val="269454CA"/>
    <w:rsid w:val="26EB0827"/>
    <w:rsid w:val="273E668C"/>
    <w:rsid w:val="275F171D"/>
    <w:rsid w:val="276E106B"/>
    <w:rsid w:val="278A4EBF"/>
    <w:rsid w:val="27B56B82"/>
    <w:rsid w:val="27BB35F6"/>
    <w:rsid w:val="27C16EC4"/>
    <w:rsid w:val="27E91F94"/>
    <w:rsid w:val="2807090F"/>
    <w:rsid w:val="282C4737"/>
    <w:rsid w:val="283B1A59"/>
    <w:rsid w:val="296A0D40"/>
    <w:rsid w:val="298934C6"/>
    <w:rsid w:val="29E152D4"/>
    <w:rsid w:val="2A44220C"/>
    <w:rsid w:val="2A475858"/>
    <w:rsid w:val="2A4B6EA9"/>
    <w:rsid w:val="2A764031"/>
    <w:rsid w:val="2A7B5C3D"/>
    <w:rsid w:val="2ABE62CB"/>
    <w:rsid w:val="2B042333"/>
    <w:rsid w:val="2BA926BD"/>
    <w:rsid w:val="2BB3460A"/>
    <w:rsid w:val="2C4D184B"/>
    <w:rsid w:val="2C5863B7"/>
    <w:rsid w:val="2C6804EE"/>
    <w:rsid w:val="2CA35321"/>
    <w:rsid w:val="2CB13D53"/>
    <w:rsid w:val="2CB528AD"/>
    <w:rsid w:val="2CD86C3B"/>
    <w:rsid w:val="2CE915E7"/>
    <w:rsid w:val="2D334A1B"/>
    <w:rsid w:val="2D6F3CE5"/>
    <w:rsid w:val="2DA66782"/>
    <w:rsid w:val="2DA94788"/>
    <w:rsid w:val="2E7A444E"/>
    <w:rsid w:val="2EA724FB"/>
    <w:rsid w:val="2F632B02"/>
    <w:rsid w:val="30126A97"/>
    <w:rsid w:val="30780656"/>
    <w:rsid w:val="30A46B6E"/>
    <w:rsid w:val="30C95219"/>
    <w:rsid w:val="30EE2B85"/>
    <w:rsid w:val="314823E0"/>
    <w:rsid w:val="315974CA"/>
    <w:rsid w:val="319B6BB5"/>
    <w:rsid w:val="31C61E5D"/>
    <w:rsid w:val="31D90696"/>
    <w:rsid w:val="32180F8C"/>
    <w:rsid w:val="323A3121"/>
    <w:rsid w:val="32851613"/>
    <w:rsid w:val="32D4236C"/>
    <w:rsid w:val="32EF07B9"/>
    <w:rsid w:val="32F83B93"/>
    <w:rsid w:val="33245604"/>
    <w:rsid w:val="33484B1B"/>
    <w:rsid w:val="33923FE8"/>
    <w:rsid w:val="34445DC0"/>
    <w:rsid w:val="34484FE9"/>
    <w:rsid w:val="34493878"/>
    <w:rsid w:val="34725483"/>
    <w:rsid w:val="34771CB8"/>
    <w:rsid w:val="34FB6B81"/>
    <w:rsid w:val="350D3D6C"/>
    <w:rsid w:val="353663AC"/>
    <w:rsid w:val="354D541A"/>
    <w:rsid w:val="35BC17F0"/>
    <w:rsid w:val="362A409A"/>
    <w:rsid w:val="36D75C68"/>
    <w:rsid w:val="36E70E45"/>
    <w:rsid w:val="37201E2C"/>
    <w:rsid w:val="375259EE"/>
    <w:rsid w:val="37685466"/>
    <w:rsid w:val="37A4312A"/>
    <w:rsid w:val="37EF5A63"/>
    <w:rsid w:val="38023DC6"/>
    <w:rsid w:val="382A4AB8"/>
    <w:rsid w:val="38A07FD8"/>
    <w:rsid w:val="38A77E42"/>
    <w:rsid w:val="38B36EDA"/>
    <w:rsid w:val="38B90269"/>
    <w:rsid w:val="38C5276A"/>
    <w:rsid w:val="38DB1F8D"/>
    <w:rsid w:val="38FC039E"/>
    <w:rsid w:val="39032006"/>
    <w:rsid w:val="39070FD4"/>
    <w:rsid w:val="39202096"/>
    <w:rsid w:val="39243B6E"/>
    <w:rsid w:val="393C5488"/>
    <w:rsid w:val="395E6439"/>
    <w:rsid w:val="39AB6032"/>
    <w:rsid w:val="39C0722D"/>
    <w:rsid w:val="3A202852"/>
    <w:rsid w:val="3A3D6832"/>
    <w:rsid w:val="3A6D47C6"/>
    <w:rsid w:val="3AB60335"/>
    <w:rsid w:val="3B2F2EE5"/>
    <w:rsid w:val="3B463A66"/>
    <w:rsid w:val="3B906452"/>
    <w:rsid w:val="3B942F0D"/>
    <w:rsid w:val="3BB053C6"/>
    <w:rsid w:val="3BD058B3"/>
    <w:rsid w:val="3BF234E9"/>
    <w:rsid w:val="3C6853B0"/>
    <w:rsid w:val="3CA67FA7"/>
    <w:rsid w:val="3D1D49F4"/>
    <w:rsid w:val="3D2E2FD3"/>
    <w:rsid w:val="3D4023F8"/>
    <w:rsid w:val="3D724BEA"/>
    <w:rsid w:val="3D8803C1"/>
    <w:rsid w:val="3E083824"/>
    <w:rsid w:val="3E246258"/>
    <w:rsid w:val="3E426B99"/>
    <w:rsid w:val="3E584F37"/>
    <w:rsid w:val="3E72723D"/>
    <w:rsid w:val="3F5F57A2"/>
    <w:rsid w:val="3F8C015B"/>
    <w:rsid w:val="3F933427"/>
    <w:rsid w:val="3FBC4A8C"/>
    <w:rsid w:val="3FD5481D"/>
    <w:rsid w:val="40182BAF"/>
    <w:rsid w:val="40951D0B"/>
    <w:rsid w:val="41012A9F"/>
    <w:rsid w:val="410F14E6"/>
    <w:rsid w:val="417E66EF"/>
    <w:rsid w:val="418B41C4"/>
    <w:rsid w:val="41D653A9"/>
    <w:rsid w:val="421950C0"/>
    <w:rsid w:val="4242307D"/>
    <w:rsid w:val="42426BD9"/>
    <w:rsid w:val="42856F2B"/>
    <w:rsid w:val="42FA5706"/>
    <w:rsid w:val="434F5A51"/>
    <w:rsid w:val="43523590"/>
    <w:rsid w:val="436D5FDC"/>
    <w:rsid w:val="43784FA8"/>
    <w:rsid w:val="43AF1B52"/>
    <w:rsid w:val="43C629C1"/>
    <w:rsid w:val="43D85A47"/>
    <w:rsid w:val="43FF68EB"/>
    <w:rsid w:val="44542005"/>
    <w:rsid w:val="44980682"/>
    <w:rsid w:val="44C4421D"/>
    <w:rsid w:val="44DA759D"/>
    <w:rsid w:val="45736944"/>
    <w:rsid w:val="45C43F9F"/>
    <w:rsid w:val="45D44A05"/>
    <w:rsid w:val="45D61F89"/>
    <w:rsid w:val="45F6187A"/>
    <w:rsid w:val="461A7EA8"/>
    <w:rsid w:val="46612C1C"/>
    <w:rsid w:val="46653C6A"/>
    <w:rsid w:val="46AF1E33"/>
    <w:rsid w:val="47CA573C"/>
    <w:rsid w:val="489D725F"/>
    <w:rsid w:val="48CD17E9"/>
    <w:rsid w:val="49AF0FF8"/>
    <w:rsid w:val="49B7620A"/>
    <w:rsid w:val="4A703634"/>
    <w:rsid w:val="4A7A27C7"/>
    <w:rsid w:val="4B105971"/>
    <w:rsid w:val="4B172E4C"/>
    <w:rsid w:val="4BD3064C"/>
    <w:rsid w:val="4C194636"/>
    <w:rsid w:val="4C28585D"/>
    <w:rsid w:val="4C3D6D8F"/>
    <w:rsid w:val="4C874B31"/>
    <w:rsid w:val="4D216FF5"/>
    <w:rsid w:val="4D5A127B"/>
    <w:rsid w:val="4D7007BC"/>
    <w:rsid w:val="4D93537F"/>
    <w:rsid w:val="4D943DF7"/>
    <w:rsid w:val="4DC862CE"/>
    <w:rsid w:val="4E6D24DB"/>
    <w:rsid w:val="4E920EE8"/>
    <w:rsid w:val="4E924F42"/>
    <w:rsid w:val="4E93713A"/>
    <w:rsid w:val="4EB43551"/>
    <w:rsid w:val="4EBF1BD9"/>
    <w:rsid w:val="4F2330C4"/>
    <w:rsid w:val="4FA06875"/>
    <w:rsid w:val="4FD572DE"/>
    <w:rsid w:val="4FEC06B7"/>
    <w:rsid w:val="503B1F0D"/>
    <w:rsid w:val="50857A97"/>
    <w:rsid w:val="514E3077"/>
    <w:rsid w:val="515E3F93"/>
    <w:rsid w:val="517D7C2E"/>
    <w:rsid w:val="5260412A"/>
    <w:rsid w:val="528B1ED6"/>
    <w:rsid w:val="52B95F0C"/>
    <w:rsid w:val="52CC57DC"/>
    <w:rsid w:val="52E23283"/>
    <w:rsid w:val="52E8557B"/>
    <w:rsid w:val="53AB674D"/>
    <w:rsid w:val="543C792C"/>
    <w:rsid w:val="54574766"/>
    <w:rsid w:val="545F1897"/>
    <w:rsid w:val="54DC090D"/>
    <w:rsid w:val="55961178"/>
    <w:rsid w:val="56212DDE"/>
    <w:rsid w:val="5687154B"/>
    <w:rsid w:val="56B05454"/>
    <w:rsid w:val="56F0253E"/>
    <w:rsid w:val="56FE31CC"/>
    <w:rsid w:val="577562DD"/>
    <w:rsid w:val="57AC419B"/>
    <w:rsid w:val="57E77CFE"/>
    <w:rsid w:val="58093FC9"/>
    <w:rsid w:val="58147297"/>
    <w:rsid w:val="582211B7"/>
    <w:rsid w:val="587F0B19"/>
    <w:rsid w:val="58857D3D"/>
    <w:rsid w:val="58A5444C"/>
    <w:rsid w:val="58D03FD7"/>
    <w:rsid w:val="58FF3689"/>
    <w:rsid w:val="5945578D"/>
    <w:rsid w:val="596B733F"/>
    <w:rsid w:val="5A0F674C"/>
    <w:rsid w:val="5A690D5F"/>
    <w:rsid w:val="5B0A1EDE"/>
    <w:rsid w:val="5B583A26"/>
    <w:rsid w:val="5BE24380"/>
    <w:rsid w:val="5BE31BBD"/>
    <w:rsid w:val="5CE123F3"/>
    <w:rsid w:val="5D0C51C0"/>
    <w:rsid w:val="5D631152"/>
    <w:rsid w:val="5D684A57"/>
    <w:rsid w:val="5DB70229"/>
    <w:rsid w:val="5DEA664B"/>
    <w:rsid w:val="5E027070"/>
    <w:rsid w:val="5E734C47"/>
    <w:rsid w:val="5EBD7328"/>
    <w:rsid w:val="5FD02BBC"/>
    <w:rsid w:val="5FDD1FC7"/>
    <w:rsid w:val="6033285D"/>
    <w:rsid w:val="60A414AC"/>
    <w:rsid w:val="61355E2F"/>
    <w:rsid w:val="624200CA"/>
    <w:rsid w:val="62472ABD"/>
    <w:rsid w:val="62A35D54"/>
    <w:rsid w:val="62E3606F"/>
    <w:rsid w:val="631914AA"/>
    <w:rsid w:val="63BA1464"/>
    <w:rsid w:val="63BF7884"/>
    <w:rsid w:val="63C246F0"/>
    <w:rsid w:val="641F03AE"/>
    <w:rsid w:val="643D14BE"/>
    <w:rsid w:val="64572FDB"/>
    <w:rsid w:val="648016C3"/>
    <w:rsid w:val="64C01776"/>
    <w:rsid w:val="64C82602"/>
    <w:rsid w:val="64CE5EC6"/>
    <w:rsid w:val="64DC465A"/>
    <w:rsid w:val="65067046"/>
    <w:rsid w:val="651D5558"/>
    <w:rsid w:val="65363279"/>
    <w:rsid w:val="653E1CBF"/>
    <w:rsid w:val="654C49B0"/>
    <w:rsid w:val="65963505"/>
    <w:rsid w:val="66543FDB"/>
    <w:rsid w:val="67696832"/>
    <w:rsid w:val="67B44E89"/>
    <w:rsid w:val="68045C3D"/>
    <w:rsid w:val="682E0692"/>
    <w:rsid w:val="68841532"/>
    <w:rsid w:val="68B07183"/>
    <w:rsid w:val="68F713B1"/>
    <w:rsid w:val="695050F3"/>
    <w:rsid w:val="69816D07"/>
    <w:rsid w:val="6A1A4560"/>
    <w:rsid w:val="6A527A52"/>
    <w:rsid w:val="6ACB7804"/>
    <w:rsid w:val="6AD77F57"/>
    <w:rsid w:val="6BBE179F"/>
    <w:rsid w:val="6C4046EC"/>
    <w:rsid w:val="6C4D6722"/>
    <w:rsid w:val="6C784FAC"/>
    <w:rsid w:val="6C795E3D"/>
    <w:rsid w:val="6C7F73FE"/>
    <w:rsid w:val="6C9E700E"/>
    <w:rsid w:val="6C9E706A"/>
    <w:rsid w:val="6CCC6B7A"/>
    <w:rsid w:val="6CD26C28"/>
    <w:rsid w:val="6D23578B"/>
    <w:rsid w:val="6D6B1710"/>
    <w:rsid w:val="6D9E5EC8"/>
    <w:rsid w:val="6E2D0758"/>
    <w:rsid w:val="6E807814"/>
    <w:rsid w:val="6EA26ED0"/>
    <w:rsid w:val="6F3051F1"/>
    <w:rsid w:val="6F3D7BB8"/>
    <w:rsid w:val="6F63000B"/>
    <w:rsid w:val="6F7C0724"/>
    <w:rsid w:val="6FD177E1"/>
    <w:rsid w:val="6FD7710D"/>
    <w:rsid w:val="702A579F"/>
    <w:rsid w:val="708A091C"/>
    <w:rsid w:val="712F5B9D"/>
    <w:rsid w:val="71413EDC"/>
    <w:rsid w:val="71436346"/>
    <w:rsid w:val="715B3690"/>
    <w:rsid w:val="71621512"/>
    <w:rsid w:val="71932BFA"/>
    <w:rsid w:val="71A67DBF"/>
    <w:rsid w:val="71B9631B"/>
    <w:rsid w:val="71C11019"/>
    <w:rsid w:val="71C852B3"/>
    <w:rsid w:val="71FE3EAD"/>
    <w:rsid w:val="72225ADC"/>
    <w:rsid w:val="722851A2"/>
    <w:rsid w:val="72775121"/>
    <w:rsid w:val="72A91E0F"/>
    <w:rsid w:val="731015EC"/>
    <w:rsid w:val="733028FA"/>
    <w:rsid w:val="737F281F"/>
    <w:rsid w:val="73885F38"/>
    <w:rsid w:val="73970283"/>
    <w:rsid w:val="73AA1DCA"/>
    <w:rsid w:val="73CA0E99"/>
    <w:rsid w:val="73E61810"/>
    <w:rsid w:val="73FC1BA1"/>
    <w:rsid w:val="74746816"/>
    <w:rsid w:val="74B17EC3"/>
    <w:rsid w:val="75622B13"/>
    <w:rsid w:val="75834F63"/>
    <w:rsid w:val="75894011"/>
    <w:rsid w:val="75E67016"/>
    <w:rsid w:val="75FB53BC"/>
    <w:rsid w:val="761732F1"/>
    <w:rsid w:val="763B583E"/>
    <w:rsid w:val="769E20E7"/>
    <w:rsid w:val="76D903AC"/>
    <w:rsid w:val="76E67B05"/>
    <w:rsid w:val="76F77A2A"/>
    <w:rsid w:val="7714093C"/>
    <w:rsid w:val="771C6F5F"/>
    <w:rsid w:val="7757688B"/>
    <w:rsid w:val="77677BFF"/>
    <w:rsid w:val="77920904"/>
    <w:rsid w:val="77BE5F6F"/>
    <w:rsid w:val="780C4C6C"/>
    <w:rsid w:val="788114F1"/>
    <w:rsid w:val="790142D0"/>
    <w:rsid w:val="796E1A86"/>
    <w:rsid w:val="79A83C54"/>
    <w:rsid w:val="79B06E32"/>
    <w:rsid w:val="79F25470"/>
    <w:rsid w:val="7A1E16FE"/>
    <w:rsid w:val="7A7F1C46"/>
    <w:rsid w:val="7B0C4611"/>
    <w:rsid w:val="7B245195"/>
    <w:rsid w:val="7B66237A"/>
    <w:rsid w:val="7B666760"/>
    <w:rsid w:val="7B896151"/>
    <w:rsid w:val="7BBA2A74"/>
    <w:rsid w:val="7BD5403F"/>
    <w:rsid w:val="7BDA3403"/>
    <w:rsid w:val="7BF256D2"/>
    <w:rsid w:val="7C2024CA"/>
    <w:rsid w:val="7CE04579"/>
    <w:rsid w:val="7CE309DD"/>
    <w:rsid w:val="7CF42D24"/>
    <w:rsid w:val="7DAD486B"/>
    <w:rsid w:val="7DCB394B"/>
    <w:rsid w:val="7E4B16A0"/>
    <w:rsid w:val="7E9401E1"/>
    <w:rsid w:val="7EC65EC0"/>
    <w:rsid w:val="7ED81348"/>
    <w:rsid w:val="7F220E37"/>
    <w:rsid w:val="7FB325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annotation text"/>
    <w:basedOn w:val="1"/>
    <w:autoRedefine/>
    <w:unhideWhenUsed/>
    <w:qFormat/>
    <w:uiPriority w:val="99"/>
    <w:rPr>
      <w:rFonts w:cs="Times New Roman"/>
    </w:rPr>
  </w:style>
  <w:style w:type="paragraph" w:styleId="3">
    <w:name w:val="Body Text Indent"/>
    <w:basedOn w:val="1"/>
    <w:autoRedefine/>
    <w:qFormat/>
    <w:uiPriority w:val="99"/>
    <w:pPr>
      <w:widowControl/>
      <w:tabs>
        <w:tab w:val="left" w:pos="0"/>
        <w:tab w:val="left" w:pos="993"/>
        <w:tab w:val="left" w:pos="1134"/>
      </w:tabs>
      <w:spacing w:line="500" w:lineRule="exact"/>
      <w:ind w:firstLine="567"/>
    </w:pPr>
    <w:rPr>
      <w:rFonts w:ascii="宋体"/>
      <w:kern w:val="0"/>
      <w:sz w:val="28"/>
      <w:szCs w:val="20"/>
    </w:rPr>
  </w:style>
  <w:style w:type="paragraph" w:styleId="4">
    <w:name w:val="Plain Text"/>
    <w:basedOn w:val="1"/>
    <w:autoRedefine/>
    <w:unhideWhenUsed/>
    <w:qFormat/>
    <w:uiPriority w:val="99"/>
    <w:rPr>
      <w:rFonts w:ascii="宋体" w:hAnsi="Courier New" w:cs="Courier New"/>
      <w:szCs w:val="21"/>
    </w:rPr>
  </w:style>
  <w:style w:type="paragraph" w:styleId="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autoRedefine/>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Emphasis"/>
    <w:basedOn w:val="10"/>
    <w:autoRedefine/>
    <w:qFormat/>
    <w:uiPriority w:val="0"/>
    <w:rPr>
      <w:i/>
    </w:rPr>
  </w:style>
  <w:style w:type="character" w:styleId="12">
    <w:name w:val="annotation reference"/>
    <w:autoRedefine/>
    <w:unhideWhenUsed/>
    <w:qFormat/>
    <w:uiPriority w:val="99"/>
    <w:rPr>
      <w:sz w:val="21"/>
      <w:szCs w:val="21"/>
    </w:rPr>
  </w:style>
  <w:style w:type="paragraph"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1026</Words>
  <Characters>1139</Characters>
  <Lines>0</Lines>
  <Paragraphs>0</Paragraphs>
  <TotalTime>0</TotalTime>
  <ScaleCrop>false</ScaleCrop>
  <LinksUpToDate>false</LinksUpToDate>
  <CharactersWithSpaces>1139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2020-04-23T01:14:00Z</dcterms:created>
  <dc:creator>孙娟</dc:creator>
  <cp:lastModifiedBy>杨飞</cp:lastModifiedBy>
  <cp:lastPrinted>2026-08-03T08:45:56Z</cp:lastPrinted>
  <dcterms:modified xsi:type="dcterms:W3CDTF">2026-08-03T08:46:04Z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DEBA95FDA77F4F18A3FCD318B30D4932_13</vt:lpwstr>
  </property>
  <property fmtid="{D5CDD505-2E9C-101B-9397-08002B2CF9AE}" pid="4" name="KSOTemplateDocerSaveRecord">
    <vt:lpwstr>eyJoZGlkIjoiODhkMmEwNWVmZDk5ZTkxOTMxYjU3YmUzMWUyMWIzN2YiLCJ1c2VySWQiOiIxNTU5OTU0MjgwIn0=</vt:lpwstr>
  </property>
</Properties>
</file>